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163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0"/>
        <w:gridCol w:w="3110"/>
        <w:gridCol w:w="760"/>
        <w:gridCol w:w="365"/>
        <w:gridCol w:w="468"/>
        <w:gridCol w:w="263"/>
        <w:gridCol w:w="1474"/>
        <w:gridCol w:w="722"/>
        <w:gridCol w:w="897"/>
        <w:gridCol w:w="896"/>
        <w:gridCol w:w="895"/>
        <w:gridCol w:w="733"/>
        <w:gridCol w:w="351"/>
      </w:tblGrid>
      <w:tr w:rsidR="00AB59BE" w:rsidTr="00FB3491">
        <w:tblPrEx>
          <w:tblCellMar>
            <w:top w:w="0" w:type="dxa"/>
            <w:bottom w:w="0" w:type="dxa"/>
          </w:tblCellMar>
        </w:tblPrEx>
        <w:trPr>
          <w:gridAfter w:val="1"/>
          <w:wAfter w:w="351" w:type="dxa"/>
          <w:cantSplit/>
        </w:trPr>
        <w:tc>
          <w:tcPr>
            <w:tcW w:w="190" w:type="dxa"/>
            <w:shd w:val="clear" w:color="auto" w:fill="auto"/>
            <w:vAlign w:val="bottom"/>
          </w:tcPr>
          <w:p w:rsidR="00AB59BE" w:rsidRDefault="00AB59BE"/>
        </w:tc>
        <w:tc>
          <w:tcPr>
            <w:tcW w:w="3110" w:type="dxa"/>
            <w:shd w:val="clear" w:color="auto" w:fill="auto"/>
            <w:vAlign w:val="bottom"/>
          </w:tcPr>
          <w:p w:rsidR="00AB59BE" w:rsidRDefault="00AB59BE"/>
        </w:tc>
        <w:tc>
          <w:tcPr>
            <w:tcW w:w="760" w:type="dxa"/>
            <w:shd w:val="clear" w:color="auto" w:fill="auto"/>
            <w:vAlign w:val="bottom"/>
          </w:tcPr>
          <w:p w:rsidR="00AB59BE" w:rsidRDefault="00AB59BE"/>
        </w:tc>
        <w:tc>
          <w:tcPr>
            <w:tcW w:w="365" w:type="dxa"/>
            <w:shd w:val="clear" w:color="auto" w:fill="auto"/>
            <w:vAlign w:val="bottom"/>
          </w:tcPr>
          <w:p w:rsidR="00AB59BE" w:rsidRDefault="00AB59BE"/>
        </w:tc>
        <w:tc>
          <w:tcPr>
            <w:tcW w:w="468" w:type="dxa"/>
            <w:shd w:val="clear" w:color="auto" w:fill="auto"/>
            <w:vAlign w:val="bottom"/>
          </w:tcPr>
          <w:p w:rsidR="00AB59BE" w:rsidRDefault="00AB59BE"/>
        </w:tc>
        <w:tc>
          <w:tcPr>
            <w:tcW w:w="263" w:type="dxa"/>
            <w:shd w:val="clear" w:color="auto" w:fill="auto"/>
            <w:vAlign w:val="bottom"/>
          </w:tcPr>
          <w:p w:rsidR="00AB59BE" w:rsidRDefault="00AB59BE"/>
        </w:tc>
        <w:tc>
          <w:tcPr>
            <w:tcW w:w="1474" w:type="dxa"/>
            <w:shd w:val="clear" w:color="auto" w:fill="auto"/>
            <w:vAlign w:val="bottom"/>
          </w:tcPr>
          <w:p w:rsidR="00AB59BE" w:rsidRDefault="00AB59BE"/>
        </w:tc>
        <w:tc>
          <w:tcPr>
            <w:tcW w:w="722" w:type="dxa"/>
            <w:shd w:val="clear" w:color="auto" w:fill="auto"/>
            <w:vAlign w:val="bottom"/>
          </w:tcPr>
          <w:p w:rsidR="00AB59BE" w:rsidRDefault="00AB59BE"/>
        </w:tc>
        <w:tc>
          <w:tcPr>
            <w:tcW w:w="897" w:type="dxa"/>
            <w:shd w:val="clear" w:color="auto" w:fill="auto"/>
            <w:vAlign w:val="bottom"/>
          </w:tcPr>
          <w:p w:rsidR="00AB59BE" w:rsidRDefault="00AB59BE"/>
        </w:tc>
        <w:tc>
          <w:tcPr>
            <w:tcW w:w="896" w:type="dxa"/>
            <w:shd w:val="clear" w:color="auto" w:fill="auto"/>
            <w:vAlign w:val="bottom"/>
          </w:tcPr>
          <w:p w:rsidR="00AB59BE" w:rsidRDefault="00AB59BE"/>
        </w:tc>
        <w:tc>
          <w:tcPr>
            <w:tcW w:w="895" w:type="dxa"/>
            <w:shd w:val="clear" w:color="auto" w:fill="auto"/>
            <w:vAlign w:val="bottom"/>
          </w:tcPr>
          <w:p w:rsidR="00AB59BE" w:rsidRDefault="00AB59BE"/>
        </w:tc>
        <w:tc>
          <w:tcPr>
            <w:tcW w:w="733" w:type="dxa"/>
            <w:shd w:val="clear" w:color="auto" w:fill="auto"/>
            <w:vAlign w:val="bottom"/>
          </w:tcPr>
          <w:p w:rsidR="00AB59BE" w:rsidRDefault="00AB59BE"/>
        </w:tc>
      </w:tr>
      <w:tr w:rsidR="00AB59BE" w:rsidTr="00FB3491">
        <w:tblPrEx>
          <w:tblCellMar>
            <w:top w:w="0" w:type="dxa"/>
            <w:bottom w:w="0" w:type="dxa"/>
          </w:tblCellMar>
        </w:tblPrEx>
        <w:trPr>
          <w:gridAfter w:val="1"/>
          <w:wAfter w:w="351" w:type="dxa"/>
          <w:cantSplit/>
        </w:trPr>
        <w:tc>
          <w:tcPr>
            <w:tcW w:w="190" w:type="dxa"/>
            <w:shd w:val="clear" w:color="auto" w:fill="auto"/>
            <w:vAlign w:val="bottom"/>
          </w:tcPr>
          <w:p w:rsidR="00AB59BE" w:rsidRDefault="00AB59BE"/>
        </w:tc>
        <w:tc>
          <w:tcPr>
            <w:tcW w:w="4235" w:type="dxa"/>
            <w:gridSpan w:val="3"/>
            <w:shd w:val="clear" w:color="auto" w:fill="auto"/>
            <w:vAlign w:val="bottom"/>
          </w:tcPr>
          <w:p w:rsidR="00AB59BE" w:rsidRDefault="00AB59BE"/>
        </w:tc>
        <w:tc>
          <w:tcPr>
            <w:tcW w:w="468" w:type="dxa"/>
            <w:shd w:val="clear" w:color="auto" w:fill="auto"/>
            <w:vAlign w:val="bottom"/>
          </w:tcPr>
          <w:p w:rsidR="00AB59BE" w:rsidRDefault="00AB59BE">
            <w:pPr>
              <w:jc w:val="right"/>
            </w:pPr>
          </w:p>
        </w:tc>
        <w:tc>
          <w:tcPr>
            <w:tcW w:w="1737" w:type="dxa"/>
            <w:gridSpan w:val="2"/>
            <w:vMerge w:val="restart"/>
            <w:shd w:val="clear" w:color="auto" w:fill="auto"/>
            <w:vAlign w:val="bottom"/>
          </w:tcPr>
          <w:p w:rsidR="00AB59BE" w:rsidRDefault="00AB59BE"/>
        </w:tc>
        <w:tc>
          <w:tcPr>
            <w:tcW w:w="4143" w:type="dxa"/>
            <w:gridSpan w:val="5"/>
            <w:shd w:val="clear" w:color="auto" w:fill="auto"/>
            <w:vAlign w:val="bottom"/>
          </w:tcPr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r w:rsidRPr="00FB3491">
              <w:rPr>
                <w:sz w:val="13"/>
                <w:szCs w:val="13"/>
              </w:rPr>
              <w:t xml:space="preserve">Приложение № </w:t>
            </w:r>
            <w:r>
              <w:rPr>
                <w:sz w:val="13"/>
                <w:szCs w:val="13"/>
              </w:rPr>
              <w:t>9</w:t>
            </w:r>
            <w:bookmarkStart w:id="0" w:name="_GoBack"/>
            <w:bookmarkEnd w:id="0"/>
          </w:p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r w:rsidRPr="00FB3491">
              <w:rPr>
                <w:sz w:val="13"/>
                <w:szCs w:val="13"/>
              </w:rPr>
              <w:t>к Решению Совета Кондопожского городского поселения</w:t>
            </w:r>
          </w:p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r w:rsidRPr="00FB3491">
              <w:rPr>
                <w:sz w:val="13"/>
                <w:szCs w:val="13"/>
              </w:rPr>
              <w:t>«О бюджете Кондопожского городского поселения на 2025 год и</w:t>
            </w:r>
          </w:p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r w:rsidRPr="00FB3491">
              <w:rPr>
                <w:sz w:val="13"/>
                <w:szCs w:val="13"/>
              </w:rPr>
              <w:t>на плановый период 2026 и 2027 годов»</w:t>
            </w:r>
          </w:p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proofErr w:type="gramStart"/>
            <w:r w:rsidRPr="00FB3491">
              <w:rPr>
                <w:sz w:val="13"/>
                <w:szCs w:val="13"/>
              </w:rPr>
              <w:t>(в редакции Решения Совета Кондопожского городского поселения</w:t>
            </w:r>
            <w:proofErr w:type="gramEnd"/>
          </w:p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r w:rsidRPr="00FB3491">
              <w:rPr>
                <w:sz w:val="13"/>
                <w:szCs w:val="13"/>
              </w:rPr>
              <w:t xml:space="preserve">от __ </w:t>
            </w:r>
            <w:proofErr w:type="spellStart"/>
            <w:r w:rsidRPr="00FB3491">
              <w:rPr>
                <w:sz w:val="13"/>
                <w:szCs w:val="13"/>
              </w:rPr>
              <w:t>сентябр</w:t>
            </w:r>
            <w:proofErr w:type="spellEnd"/>
            <w:r w:rsidRPr="00FB3491">
              <w:rPr>
                <w:sz w:val="13"/>
                <w:szCs w:val="13"/>
              </w:rPr>
              <w:t xml:space="preserve"> 2025 года № __</w:t>
            </w:r>
          </w:p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r w:rsidRPr="00FB3491">
              <w:rPr>
                <w:sz w:val="13"/>
                <w:szCs w:val="13"/>
              </w:rPr>
              <w:t>«О внесении изменений в Решение Совета Кондопожского городского поселения</w:t>
            </w:r>
          </w:p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r w:rsidRPr="00FB3491">
              <w:rPr>
                <w:sz w:val="13"/>
                <w:szCs w:val="13"/>
              </w:rPr>
              <w:t>от 12  декабря  2024 года №1</w:t>
            </w:r>
          </w:p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r w:rsidRPr="00FB3491">
              <w:rPr>
                <w:sz w:val="13"/>
                <w:szCs w:val="13"/>
              </w:rPr>
              <w:t>«О бюджете Кондопожского городского поселения на 2025 год и</w:t>
            </w:r>
          </w:p>
          <w:p w:rsidR="00AB59BE" w:rsidRDefault="00FB3491" w:rsidP="00FB3491">
            <w:pPr>
              <w:jc w:val="right"/>
            </w:pPr>
            <w:r w:rsidRPr="00FB3491">
              <w:rPr>
                <w:sz w:val="13"/>
                <w:szCs w:val="13"/>
              </w:rPr>
              <w:t>на плановый период 2026 и 2027 годов»).</w:t>
            </w:r>
          </w:p>
        </w:tc>
      </w:tr>
      <w:tr w:rsidR="00AB59BE" w:rsidTr="00FB3491">
        <w:tblPrEx>
          <w:tblCellMar>
            <w:top w:w="0" w:type="dxa"/>
            <w:bottom w:w="0" w:type="dxa"/>
          </w:tblCellMar>
        </w:tblPrEx>
        <w:trPr>
          <w:gridAfter w:val="1"/>
          <w:wAfter w:w="351" w:type="dxa"/>
          <w:cantSplit/>
        </w:trPr>
        <w:tc>
          <w:tcPr>
            <w:tcW w:w="190" w:type="dxa"/>
            <w:shd w:val="clear" w:color="auto" w:fill="auto"/>
            <w:vAlign w:val="bottom"/>
          </w:tcPr>
          <w:p w:rsidR="00AB59BE" w:rsidRDefault="00AB59BE"/>
        </w:tc>
        <w:tc>
          <w:tcPr>
            <w:tcW w:w="4235" w:type="dxa"/>
            <w:gridSpan w:val="3"/>
            <w:shd w:val="clear" w:color="auto" w:fill="auto"/>
          </w:tcPr>
          <w:p w:rsidR="00AB59BE" w:rsidRDefault="00AB59BE"/>
        </w:tc>
        <w:tc>
          <w:tcPr>
            <w:tcW w:w="468" w:type="dxa"/>
            <w:shd w:val="clear" w:color="auto" w:fill="auto"/>
            <w:vAlign w:val="bottom"/>
          </w:tcPr>
          <w:p w:rsidR="00AB59BE" w:rsidRDefault="00AB59BE">
            <w:pPr>
              <w:jc w:val="right"/>
            </w:pPr>
          </w:p>
        </w:tc>
        <w:tc>
          <w:tcPr>
            <w:tcW w:w="1737" w:type="dxa"/>
            <w:gridSpan w:val="2"/>
            <w:vMerge/>
            <w:shd w:val="clear" w:color="auto" w:fill="auto"/>
            <w:vAlign w:val="bottom"/>
          </w:tcPr>
          <w:p w:rsidR="00AB59BE" w:rsidRDefault="00AB59BE"/>
        </w:tc>
        <w:tc>
          <w:tcPr>
            <w:tcW w:w="722" w:type="dxa"/>
            <w:shd w:val="clear" w:color="auto" w:fill="auto"/>
            <w:vAlign w:val="bottom"/>
          </w:tcPr>
          <w:p w:rsidR="00AB59BE" w:rsidRDefault="00AB59BE"/>
        </w:tc>
        <w:tc>
          <w:tcPr>
            <w:tcW w:w="897" w:type="dxa"/>
            <w:shd w:val="clear" w:color="auto" w:fill="auto"/>
            <w:vAlign w:val="bottom"/>
          </w:tcPr>
          <w:p w:rsidR="00AB59BE" w:rsidRDefault="00AB59BE"/>
        </w:tc>
        <w:tc>
          <w:tcPr>
            <w:tcW w:w="896" w:type="dxa"/>
            <w:shd w:val="clear" w:color="auto" w:fill="auto"/>
            <w:vAlign w:val="bottom"/>
          </w:tcPr>
          <w:p w:rsidR="00AB59BE" w:rsidRDefault="00AB59BE"/>
        </w:tc>
        <w:tc>
          <w:tcPr>
            <w:tcW w:w="895" w:type="dxa"/>
            <w:shd w:val="clear" w:color="auto" w:fill="auto"/>
            <w:vAlign w:val="bottom"/>
          </w:tcPr>
          <w:p w:rsidR="00AB59BE" w:rsidRDefault="00AB59BE"/>
        </w:tc>
        <w:tc>
          <w:tcPr>
            <w:tcW w:w="733" w:type="dxa"/>
            <w:shd w:val="clear" w:color="auto" w:fill="auto"/>
            <w:vAlign w:val="bottom"/>
          </w:tcPr>
          <w:p w:rsidR="00AB59BE" w:rsidRDefault="00AB59BE"/>
        </w:tc>
      </w:tr>
      <w:tr w:rsidR="00AB59BE" w:rsidTr="00FB349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" w:type="dxa"/>
            <w:shd w:val="clear" w:color="auto" w:fill="auto"/>
            <w:vAlign w:val="bottom"/>
          </w:tcPr>
          <w:p w:rsidR="00AB59BE" w:rsidRDefault="00AB59BE"/>
        </w:tc>
        <w:tc>
          <w:tcPr>
            <w:tcW w:w="10934" w:type="dxa"/>
            <w:gridSpan w:val="12"/>
            <w:vMerge w:val="restart"/>
            <w:shd w:val="clear" w:color="auto" w:fill="auto"/>
            <w:vAlign w:val="bottom"/>
          </w:tcPr>
          <w:p w:rsidR="00AB59BE" w:rsidRDefault="00FB3491">
            <w:pPr>
              <w:jc w:val="center"/>
            </w:pPr>
            <w:r>
              <w:rPr>
                <w:b/>
                <w:sz w:val="17"/>
                <w:szCs w:val="17"/>
              </w:rPr>
              <w:t>Распределение бюджетных ассигнований</w:t>
            </w:r>
            <w:r>
              <w:rPr>
                <w:b/>
                <w:sz w:val="17"/>
                <w:szCs w:val="17"/>
              </w:rPr>
              <w:t xml:space="preserve"> на 2026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7"/>
                <w:szCs w:val="17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7"/>
                <w:szCs w:val="17"/>
              </w:rPr>
              <w:t xml:space="preserve"> Кондопожского городского поселения</w:t>
            </w:r>
          </w:p>
        </w:tc>
      </w:tr>
      <w:tr w:rsidR="00AB59BE" w:rsidTr="00FB349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" w:type="dxa"/>
            <w:shd w:val="clear" w:color="auto" w:fill="auto"/>
            <w:vAlign w:val="bottom"/>
          </w:tcPr>
          <w:p w:rsidR="00AB59BE" w:rsidRDefault="00AB59BE"/>
        </w:tc>
        <w:tc>
          <w:tcPr>
            <w:tcW w:w="10934" w:type="dxa"/>
            <w:gridSpan w:val="12"/>
            <w:vMerge/>
            <w:shd w:val="clear" w:color="auto" w:fill="auto"/>
            <w:vAlign w:val="bottom"/>
          </w:tcPr>
          <w:p w:rsidR="00AB59BE" w:rsidRDefault="00AB59BE"/>
        </w:tc>
      </w:tr>
      <w:tr w:rsidR="00AB59BE" w:rsidTr="00FB3491">
        <w:tblPrEx>
          <w:tblCellMar>
            <w:top w:w="0" w:type="dxa"/>
            <w:bottom w:w="0" w:type="dxa"/>
          </w:tblCellMar>
        </w:tblPrEx>
        <w:trPr>
          <w:gridAfter w:val="1"/>
          <w:wAfter w:w="351" w:type="dxa"/>
          <w:cantSplit/>
        </w:trPr>
        <w:tc>
          <w:tcPr>
            <w:tcW w:w="190" w:type="dxa"/>
            <w:shd w:val="clear" w:color="auto" w:fill="auto"/>
            <w:vAlign w:val="bottom"/>
          </w:tcPr>
          <w:p w:rsidR="00AB59BE" w:rsidRDefault="00AB59BE"/>
        </w:tc>
        <w:tc>
          <w:tcPr>
            <w:tcW w:w="3110" w:type="dxa"/>
            <w:shd w:val="clear" w:color="auto" w:fill="auto"/>
            <w:vAlign w:val="bottom"/>
          </w:tcPr>
          <w:p w:rsidR="00AB59BE" w:rsidRDefault="00AB59BE"/>
        </w:tc>
        <w:tc>
          <w:tcPr>
            <w:tcW w:w="760" w:type="dxa"/>
            <w:shd w:val="clear" w:color="auto" w:fill="auto"/>
            <w:vAlign w:val="bottom"/>
          </w:tcPr>
          <w:p w:rsidR="00AB59BE" w:rsidRDefault="00AB59BE"/>
        </w:tc>
        <w:tc>
          <w:tcPr>
            <w:tcW w:w="365" w:type="dxa"/>
            <w:shd w:val="clear" w:color="auto" w:fill="auto"/>
            <w:vAlign w:val="bottom"/>
          </w:tcPr>
          <w:p w:rsidR="00AB59BE" w:rsidRDefault="00AB59BE"/>
        </w:tc>
        <w:tc>
          <w:tcPr>
            <w:tcW w:w="468" w:type="dxa"/>
            <w:shd w:val="clear" w:color="auto" w:fill="auto"/>
            <w:vAlign w:val="bottom"/>
          </w:tcPr>
          <w:p w:rsidR="00AB59BE" w:rsidRDefault="00AB59BE"/>
        </w:tc>
        <w:tc>
          <w:tcPr>
            <w:tcW w:w="263" w:type="dxa"/>
            <w:shd w:val="clear" w:color="auto" w:fill="auto"/>
            <w:vAlign w:val="bottom"/>
          </w:tcPr>
          <w:p w:rsidR="00AB59BE" w:rsidRDefault="00AB59BE"/>
        </w:tc>
        <w:tc>
          <w:tcPr>
            <w:tcW w:w="1474" w:type="dxa"/>
            <w:shd w:val="clear" w:color="auto" w:fill="auto"/>
            <w:vAlign w:val="bottom"/>
          </w:tcPr>
          <w:p w:rsidR="00AB59BE" w:rsidRDefault="00AB59BE"/>
        </w:tc>
        <w:tc>
          <w:tcPr>
            <w:tcW w:w="722" w:type="dxa"/>
            <w:shd w:val="clear" w:color="auto" w:fill="auto"/>
            <w:vAlign w:val="bottom"/>
          </w:tcPr>
          <w:p w:rsidR="00AB59BE" w:rsidRDefault="00AB59BE"/>
        </w:tc>
        <w:tc>
          <w:tcPr>
            <w:tcW w:w="897" w:type="dxa"/>
            <w:shd w:val="clear" w:color="auto" w:fill="auto"/>
            <w:vAlign w:val="bottom"/>
          </w:tcPr>
          <w:p w:rsidR="00AB59BE" w:rsidRDefault="00AB59BE"/>
        </w:tc>
        <w:tc>
          <w:tcPr>
            <w:tcW w:w="896" w:type="dxa"/>
            <w:shd w:val="clear" w:color="auto" w:fill="auto"/>
            <w:vAlign w:val="bottom"/>
          </w:tcPr>
          <w:p w:rsidR="00AB59BE" w:rsidRDefault="00AB59BE"/>
        </w:tc>
        <w:tc>
          <w:tcPr>
            <w:tcW w:w="895" w:type="dxa"/>
            <w:shd w:val="clear" w:color="auto" w:fill="auto"/>
            <w:vAlign w:val="bottom"/>
          </w:tcPr>
          <w:p w:rsidR="00AB59BE" w:rsidRDefault="00AB59BE"/>
        </w:tc>
        <w:tc>
          <w:tcPr>
            <w:tcW w:w="733" w:type="dxa"/>
            <w:shd w:val="clear" w:color="auto" w:fill="auto"/>
            <w:vAlign w:val="bottom"/>
          </w:tcPr>
          <w:p w:rsidR="00AB59BE" w:rsidRDefault="00AB59BE"/>
        </w:tc>
      </w:tr>
    </w:tbl>
    <w:tbl>
      <w:tblPr>
        <w:tblStyle w:val="TableStyle1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AB59BE">
        <w:tblPrEx>
          <w:tblCellMar>
            <w:top w:w="0" w:type="dxa"/>
            <w:bottom w:w="0" w:type="dxa"/>
          </w:tblCellMar>
        </w:tblPrEx>
        <w:trPr>
          <w:cantSplit/>
          <w:trHeight w:val="1790"/>
          <w:tblHeader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B59BE" w:rsidRDefault="00FB3491">
            <w:pPr>
              <w:wordWrap w:val="0"/>
              <w:jc w:val="center"/>
            </w:pPr>
            <w:r>
              <w:rPr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5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B59BE" w:rsidRDefault="00FB3491">
            <w:pPr>
              <w:jc w:val="center"/>
            </w:pPr>
            <w:r>
              <w:rPr>
                <w:b/>
                <w:sz w:val="17"/>
                <w:szCs w:val="17"/>
              </w:rPr>
              <w:t xml:space="preserve">Целевой </w:t>
            </w:r>
            <w:r>
              <w:rPr>
                <w:b/>
                <w:sz w:val="17"/>
                <w:szCs w:val="17"/>
              </w:rPr>
              <w:t>статьи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B59BE" w:rsidRDefault="00FB3491">
            <w:pPr>
              <w:jc w:val="center"/>
            </w:pPr>
            <w:r>
              <w:rPr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9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B59BE" w:rsidRDefault="00FB3491">
            <w:pPr>
              <w:jc w:val="center"/>
            </w:pPr>
            <w:r>
              <w:rPr>
                <w:b/>
                <w:sz w:val="17"/>
                <w:szCs w:val="17"/>
              </w:rPr>
              <w:t>Бюджетные ассигнования сумма на год (</w:t>
            </w:r>
            <w:proofErr w:type="spellStart"/>
            <w:r>
              <w:rPr>
                <w:b/>
                <w:sz w:val="17"/>
                <w:szCs w:val="17"/>
              </w:rPr>
              <w:t>руб</w:t>
            </w:r>
            <w:proofErr w:type="spellEnd"/>
            <w:r>
              <w:rPr>
                <w:b/>
                <w:sz w:val="17"/>
                <w:szCs w:val="17"/>
              </w:rPr>
              <w:t>)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  <w:trHeight w:val="14"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AB59BE"/>
        </w:tc>
        <w:tc>
          <w:tcPr>
            <w:tcW w:w="175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AB59BE"/>
        </w:tc>
        <w:tc>
          <w:tcPr>
            <w:tcW w:w="171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AB59BE"/>
        </w:tc>
        <w:tc>
          <w:tcPr>
            <w:tcW w:w="29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AB59BE"/>
        </w:tc>
      </w:tr>
    </w:tbl>
    <w:tbl>
      <w:tblPr>
        <w:tblStyle w:val="TableStyle2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AB59B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jc w:val="center"/>
            </w:pPr>
            <w:r>
              <w:rPr>
                <w:szCs w:val="15"/>
              </w:rPr>
              <w:t>1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center"/>
            </w:pPr>
            <w:r>
              <w:rPr>
                <w:szCs w:val="15"/>
              </w:rPr>
              <w:t>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center"/>
            </w:pPr>
            <w:r>
              <w:rPr>
                <w:szCs w:val="15"/>
              </w:rPr>
              <w:t>5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center"/>
            </w:pPr>
            <w:r>
              <w:rPr>
                <w:szCs w:val="15"/>
              </w:rPr>
              <w:t>6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0100000000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22 603 121,73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</w:t>
            </w:r>
            <w:r>
              <w:rPr>
                <w:b/>
                <w:sz w:val="19"/>
                <w:szCs w:val="19"/>
              </w:rPr>
              <w:t>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01К0100000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22 603 121,73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22 603 121,73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szCs w:val="15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12 474 233,77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12 474 233,77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 xml:space="preserve">Закупка товаров, </w:t>
            </w:r>
            <w:r>
              <w:rPr>
                <w:szCs w:val="15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9 543 060,96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9 543 060,96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585 827,00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585 827,00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 xml:space="preserve">Муниципальная программа «Культура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0200000000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17 460 497,40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 xml:space="preserve">Комплекс процессных мероприятий «Создание условий для обеспечения </w:t>
            </w:r>
            <w:r>
              <w:rPr>
                <w:b/>
                <w:sz w:val="19"/>
                <w:szCs w:val="19"/>
              </w:rPr>
              <w:t xml:space="preserve">населения услугами по организации досуга и услугами организации культуры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02К0100000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17 460 497,40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17 460 497,40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11 593 931,12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 xml:space="preserve">Расходы </w:t>
            </w:r>
            <w:r>
              <w:rPr>
                <w:szCs w:val="15"/>
              </w:rPr>
              <w:t>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11 593 931,12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4 968 570,28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szCs w:val="15"/>
              </w:rPr>
              <w:t>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4 968 570,28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 xml:space="preserve">Муниципальная программа «Развитие системы защиты населения и территории </w:t>
            </w:r>
            <w:r>
              <w:rPr>
                <w:b/>
                <w:sz w:val="19"/>
                <w:szCs w:val="19"/>
              </w:rPr>
              <w:t>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0300000000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85 845,36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Комплекс процессных мероприятий «Пожарная безопасность»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03К0100000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4 365,36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 xml:space="preserve">Реализация основных мероприятий по пожарной </w:t>
            </w:r>
            <w:r>
              <w:rPr>
                <w:b/>
                <w:sz w:val="19"/>
                <w:szCs w:val="19"/>
              </w:rPr>
              <w:t>безопасности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4 365,36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4 365,36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 xml:space="preserve">Иные закупки товаров, работ и услуг для обеспечения </w:t>
            </w:r>
            <w:r>
              <w:rPr>
                <w:szCs w:val="15"/>
              </w:rPr>
              <w:t>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4 365,36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03К0200000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81 480,00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 xml:space="preserve">Мероприятия, направленные на участие в профилактике терроризма, а также в минимизации и (или) ликвидации </w:t>
            </w:r>
            <w:r>
              <w:rPr>
                <w:b/>
                <w:sz w:val="19"/>
                <w:szCs w:val="19"/>
              </w:rPr>
              <w:t>последствий проявлений терроризма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81 480,00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81 480,00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 xml:space="preserve">Иные закупки товаров, работ и услуг </w:t>
            </w:r>
            <w:r>
              <w:rPr>
                <w:szCs w:val="15"/>
              </w:rPr>
              <w:t>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81 480,00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185 931 975,89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Осуществление государственных полномочий по созданию и обеспечению деятельности административных комиссий</w:t>
            </w:r>
            <w:r>
              <w:rPr>
                <w:b/>
                <w:sz w:val="19"/>
                <w:szCs w:val="19"/>
              </w:rPr>
              <w:t xml:space="preserve">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2 000,00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 xml:space="preserve">Иные </w:t>
            </w:r>
            <w:r>
              <w:rPr>
                <w:szCs w:val="15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Кондопожского </w:t>
            </w:r>
            <w:r>
              <w:rPr>
                <w:b/>
                <w:sz w:val="19"/>
                <w:szCs w:val="19"/>
              </w:rPr>
              <w:t>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1 254 183,94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1 232 578,94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1 232 578,94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21 605,00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21 605,00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 xml:space="preserve">Резервный фонд Администрации Кондопожского муниципального района на финансовое обеспечение расходов, </w:t>
            </w:r>
            <w:r>
              <w:rPr>
                <w:b/>
                <w:sz w:val="19"/>
                <w:szCs w:val="19"/>
              </w:rPr>
              <w:t>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300 000,00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 xml:space="preserve">Ремонт и содержание </w:t>
            </w:r>
            <w:r>
              <w:rPr>
                <w:b/>
                <w:sz w:val="19"/>
                <w:szCs w:val="19"/>
              </w:rPr>
              <w:t>автомобильных дорог общего пользования в границах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40 518 268,25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40 518 268,25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 xml:space="preserve">Иные закупки товаров, работ </w:t>
            </w:r>
            <w:r>
              <w:rPr>
                <w:szCs w:val="15"/>
              </w:rPr>
              <w:t>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40 518 268,25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3 034 000,00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3 034 000,00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3 034 000,00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Мероприятия в области жилищного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867 240,00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867 240,00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szCs w:val="15"/>
              </w:rPr>
              <w:t>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867 240,00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1 427 465,47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</w:t>
            </w:r>
            <w:r>
              <w:rPr>
                <w:szCs w:val="15"/>
              </w:rPr>
              <w:t xml:space="preserve">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1 427 465,47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1 427 465,47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16 803 525,99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 xml:space="preserve">Закупка товаров, работ и услуг </w:t>
            </w:r>
            <w:r>
              <w:rPr>
                <w:szCs w:val="15"/>
              </w:rPr>
              <w:t>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16 803 525,99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16 803 525,99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Организация и содержание мест захоронения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2 026 330,00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2 026 330,00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2 026 330,00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4 074 450,00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4 074 450,00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szCs w:val="15"/>
              </w:rPr>
              <w:t>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4 074 450,00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5 722 514,46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 xml:space="preserve">Закупка товаров, работ и услуг для обеспечения государственных </w:t>
            </w:r>
            <w:r>
              <w:rPr>
                <w:szCs w:val="15"/>
              </w:rPr>
              <w:t>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5 722 514,46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5 722 514,46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 xml:space="preserve">Мероприятия, направленные на обеспечение условий осуществления деятельности по работе </w:t>
            </w:r>
            <w:r>
              <w:rPr>
                <w:b/>
                <w:sz w:val="19"/>
                <w:szCs w:val="19"/>
              </w:rPr>
              <w:t>с детьми и молодежью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200 026,31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200 026,31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200 026,31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1 180 244,64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 xml:space="preserve">Социальное обеспечение </w:t>
            </w:r>
            <w:r>
              <w:rPr>
                <w:szCs w:val="15"/>
              </w:rPr>
              <w:t>и иные выплаты населению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300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Публичные нормативные социальные выплаты гражданам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310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22 199 336,01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22 199 336,01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22 199 336,01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55НИ200000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1 000 000,00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1 000 000,00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 xml:space="preserve">Капитальные вложения в объекты государственной (муниципальной) </w:t>
            </w:r>
            <w:r>
              <w:rPr>
                <w:szCs w:val="15"/>
              </w:rPr>
              <w:t>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1 000 000,00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1 000 000,00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 xml:space="preserve"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</w:t>
            </w:r>
            <w:r>
              <w:rPr>
                <w:b/>
                <w:sz w:val="19"/>
                <w:szCs w:val="19"/>
              </w:rPr>
              <w:t>формирования современной городской среды)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55НИ400000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7 022 390,82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7 022 390,82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7 022 390,82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7 022 390,82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55НИ800000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78 300 000,00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 xml:space="preserve">Реализация мероприятий по финансовому обеспечению дорожной деятельности на </w:t>
            </w:r>
            <w:r>
              <w:rPr>
                <w:b/>
                <w:sz w:val="19"/>
                <w:szCs w:val="19"/>
              </w:rPr>
              <w:t>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78 300 000,00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78 300 000,00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 xml:space="preserve">Иные закупки товаров, работ и услуг для обеспечения </w:t>
            </w:r>
            <w:r>
              <w:rPr>
                <w:szCs w:val="15"/>
              </w:rPr>
              <w:t>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78 300 000,00</w:t>
            </w:r>
          </w:p>
        </w:tc>
      </w:tr>
      <w:tr w:rsidR="00AB59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jc w:val="right"/>
            </w:pPr>
            <w:r>
              <w:rPr>
                <w:b/>
                <w:sz w:val="23"/>
                <w:szCs w:val="23"/>
              </w:rPr>
              <w:t>ИТОГО: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jc w:val="right"/>
            </w:pPr>
            <w:r>
              <w:rPr>
                <w:b/>
                <w:sz w:val="23"/>
                <w:szCs w:val="23"/>
              </w:rPr>
              <w:t>226 081 440,38</w:t>
            </w:r>
          </w:p>
        </w:tc>
      </w:tr>
    </w:tbl>
    <w:p w:rsidR="00000000" w:rsidRDefault="00FB3491"/>
    <w:sectPr w:rsidR="00000000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B3491">
      <w:pPr>
        <w:spacing w:after="0" w:line="240" w:lineRule="auto"/>
      </w:pPr>
      <w:r>
        <w:separator/>
      </w:r>
    </w:p>
  </w:endnote>
  <w:endnote w:type="continuationSeparator" w:id="0">
    <w:p w:rsidR="00000000" w:rsidRDefault="00FB3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B3491">
      <w:pPr>
        <w:spacing w:after="0" w:line="240" w:lineRule="auto"/>
      </w:pPr>
      <w:r>
        <w:separator/>
      </w:r>
    </w:p>
  </w:footnote>
  <w:footnote w:type="continuationSeparator" w:id="0">
    <w:p w:rsidR="00000000" w:rsidRDefault="00FB3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409111"/>
      <w:docPartObj>
        <w:docPartGallery w:val="Page Numbers (Top of Page)"/>
      </w:docPartObj>
    </w:sdtPr>
    <w:sdtEndPr/>
    <w:sdtContent>
      <w:p w:rsidR="00AB59BE" w:rsidRDefault="00FB3491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>
          <w:rPr>
            <w:rFonts w:ascii="Arial" w:hAnsi="Arial"/>
            <w:noProof/>
            <w:sz w:val="15"/>
          </w:rPr>
          <w:t>3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AB59BE" w:rsidRDefault="00AB59B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6672307"/>
      <w:docPartObj>
        <w:docPartGallery w:val="Page Numbers (Top of Page)"/>
      </w:docPartObj>
    </w:sdtPr>
    <w:sdtEndPr/>
    <w:sdtContent>
      <w:p w:rsidR="00AB59BE" w:rsidRDefault="00FB3491"/>
    </w:sdtContent>
  </w:sdt>
  <w:p w:rsidR="00AB59BE" w:rsidRDefault="00AB59B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9BE"/>
    <w:rsid w:val="00AB59BE"/>
    <w:rsid w:val="00FB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1633</Words>
  <Characters>9314</Characters>
  <Application>Microsoft Office Word</Application>
  <DocSecurity>0</DocSecurity>
  <Lines>77</Lines>
  <Paragraphs>21</Paragraphs>
  <ScaleCrop>false</ScaleCrop>
  <Company/>
  <LinksUpToDate>false</LinksUpToDate>
  <CharactersWithSpaces>10926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Павловская Надежда Геннадьевна</cp:lastModifiedBy>
  <cp:revision>2</cp:revision>
  <dcterms:created xsi:type="dcterms:W3CDTF">2025-09-12T09:41:00Z</dcterms:created>
  <dcterms:modified xsi:type="dcterms:W3CDTF">2025-09-12T09:41:00Z</dcterms:modified>
</cp:coreProperties>
</file>